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nationale regler</w:t>
      </w:r>
      <w:r>
        <w:t xml:space="preserve"> 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F46910" w:rsidRPr="001D15FE" w:rsidTr="00AC6D94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1D15FE" w:rsidRPr="00F46910" w:rsidRDefault="001D15FE" w:rsidP="00AC6D94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 w:rsidR="00AC6D94"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C07C9E" w:rsidRPr="00C07C9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C07C9E" w:rsidRPr="00F46910" w:rsidRDefault="00C07C9E" w:rsidP="0088202B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C07C9E" w:rsidRPr="00C07C9E" w:rsidRDefault="00C07C9E" w:rsidP="00BD5EB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C07C9E">
              <w:rPr>
                <w:b/>
                <w:sz w:val="16"/>
                <w:szCs w:val="16"/>
              </w:rPr>
              <w:t xml:space="preserve">BEK </w:t>
            </w:r>
            <w:proofErr w:type="spellStart"/>
            <w:r w:rsidRPr="00C07C9E">
              <w:rPr>
                <w:b/>
                <w:sz w:val="16"/>
                <w:szCs w:val="16"/>
              </w:rPr>
              <w:t>nr</w:t>
            </w:r>
            <w:proofErr w:type="spellEnd"/>
            <w:r w:rsidRPr="00C07C9E">
              <w:rPr>
                <w:b/>
                <w:sz w:val="16"/>
                <w:szCs w:val="16"/>
              </w:rPr>
              <w:t xml:space="preserve"> 1312 af 16/12/2008 o</w:t>
            </w:r>
            <w:r>
              <w:rPr>
                <w:b/>
                <w:sz w:val="16"/>
                <w:szCs w:val="16"/>
              </w:rPr>
              <w:t>m jernbanevirksomheders og jern</w:t>
            </w:r>
            <w:r w:rsidRPr="00C07C9E">
              <w:rPr>
                <w:b/>
                <w:sz w:val="16"/>
                <w:szCs w:val="16"/>
              </w:rPr>
              <w:t>baneinfrastrukturforvalteres beredskabsarbejde</w:t>
            </w: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4</w:t>
            </w:r>
            <w:r w:rsidR="007F0BDD" w:rsidRPr="00F46910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:rsidR="00800364" w:rsidRPr="00800364" w:rsidRDefault="00800364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pacing w:val="-2"/>
                <w:sz w:val="16"/>
                <w:szCs w:val="16"/>
              </w:rPr>
              <w:t>Jernbanevirksomheder og jernbaneinfrastrukturfor</w:t>
            </w:r>
            <w:bookmarkStart w:id="0" w:name="_GoBack"/>
            <w:bookmarkEnd w:id="0"/>
            <w:r w:rsidRPr="00800364">
              <w:rPr>
                <w:i/>
                <w:spacing w:val="-2"/>
                <w:sz w:val="16"/>
                <w:szCs w:val="16"/>
              </w:rPr>
              <w:t>valtere skal foretage beredskabsplanlægning</w:t>
            </w:r>
            <w:r w:rsidRPr="00800364">
              <w:rPr>
                <w:i/>
                <w:sz w:val="16"/>
                <w:szCs w:val="16"/>
              </w:rPr>
              <w:t xml:space="preserve"> for forebyggelse og håndtering af ekstraordinære situationer, jf. § 1, stk. 2. 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1D15FE" w:rsidRPr="00F46910" w:rsidRDefault="001D15FE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D15FE" w:rsidRPr="001D15FE" w:rsidRDefault="001D15FE" w:rsidP="00BD5EBF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1D15FE" w:rsidRPr="001D15FE" w:rsidRDefault="001D15FE" w:rsidP="00BD5EBF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5</w:t>
            </w:r>
            <w:r w:rsidR="00F46910" w:rsidRPr="00F46910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:rsidR="00800364" w:rsidRPr="00800364" w:rsidRDefault="00800364" w:rsidP="00F4691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z w:val="16"/>
                <w:szCs w:val="16"/>
              </w:rPr>
              <w:t>Jernbanevirksomhederne og jernbaneinfrastrukturforvalterne skal udpege en beredskabsansvarlig, der koordinerer virksomhedens beredskabsopgaver, herunder etablering af kommunikationslinjer for både intern og ekstern kommunikation.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F46910" w:rsidRPr="001D15FE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F46910" w:rsidRPr="00F46910" w:rsidRDefault="00F46910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 xml:space="preserve">§ 5, stk. 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:rsidR="00F46910" w:rsidRPr="00800364" w:rsidRDefault="00F46910" w:rsidP="006E3AB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z w:val="16"/>
                <w:szCs w:val="16"/>
              </w:rPr>
              <w:t>Jernbanevirksomhederne og jernbaneinfrastrukturforvalterne skal endvidere udpege et kontaktpunkt, som i ekstraordinære situationer når som helst skal</w:t>
            </w:r>
            <w:r>
              <w:rPr>
                <w:i/>
                <w:sz w:val="16"/>
                <w:szCs w:val="16"/>
              </w:rPr>
              <w:t xml:space="preserve"> kunne </w:t>
            </w:r>
            <w:r w:rsidRPr="00800364">
              <w:rPr>
                <w:i/>
                <w:sz w:val="16"/>
                <w:szCs w:val="16"/>
              </w:rPr>
              <w:t xml:space="preserve">fungere som bindeled mellem </w:t>
            </w:r>
            <w:r w:rsidR="009174B9">
              <w:rPr>
                <w:i/>
                <w:sz w:val="16"/>
                <w:szCs w:val="16"/>
              </w:rPr>
              <w:t xml:space="preserve">… </w:t>
            </w:r>
            <w:r w:rsidRPr="00800364">
              <w:rPr>
                <w:i/>
                <w:sz w:val="16"/>
                <w:szCs w:val="16"/>
              </w:rPr>
              <w:t>jernbanevirksomheden og jernbaneinfrastrukturforvalteren,</w:t>
            </w:r>
            <w:r>
              <w:rPr>
                <w:i/>
                <w:sz w:val="16"/>
                <w:szCs w:val="16"/>
              </w:rPr>
              <w:t xml:space="preserve"> … </w:t>
            </w:r>
            <w:r w:rsidRPr="00800364">
              <w:rPr>
                <w:i/>
                <w:sz w:val="16"/>
                <w:szCs w:val="16"/>
              </w:rPr>
              <w:t xml:space="preserve">andre myndigheder </w:t>
            </w:r>
            <w:r>
              <w:rPr>
                <w:i/>
                <w:sz w:val="16"/>
                <w:szCs w:val="16"/>
              </w:rPr>
              <w:t xml:space="preserve">… mv. 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F46910" w:rsidRPr="00F46910" w:rsidRDefault="00F46910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F46910" w:rsidRPr="001D15FE" w:rsidRDefault="00F46910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F46910" w:rsidRPr="001D15FE" w:rsidRDefault="00F46910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6</w:t>
            </w:r>
            <w:r w:rsidR="007F0BDD" w:rsidRPr="00F46910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:rsidR="00800364" w:rsidRPr="00800364" w:rsidRDefault="00800364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z w:val="16"/>
                <w:szCs w:val="16"/>
              </w:rPr>
              <w:t>Jernbanevirksomheder og jernbaneinfrastrukturforvaltere skal udarbejde en skriftlig risiko- og sårbarhedsvurdering for jernbanevirksomhedens eller jernbaneinfrastrukturforvalterens eget ansvarsområde i relation til opretholdelse af jernbanen og jernbanedriftens kontinuitet i en ekstraordinær situation.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7</w:t>
            </w:r>
            <w:r w:rsidR="002D4340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:rsidR="00800364" w:rsidRPr="00800364" w:rsidRDefault="002D4340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D4340">
              <w:rPr>
                <w:i/>
                <w:spacing w:val="-2"/>
                <w:sz w:val="16"/>
                <w:szCs w:val="16"/>
              </w:rPr>
              <w:t>For områder, der er prioriteret i henhold til § 6, stk. 2, pkt. 1, skal jernbanevirksomheder og jernbaneinfrastrukturforvaltere udarbejde en sikringsplan, der så vidt muligt sikrer jernbanen mod ekstraordinære situationer samt konsekvenserne heraf.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8</w:t>
            </w:r>
            <w:r w:rsidR="002D4340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:rsidR="00800364" w:rsidRPr="002D4340" w:rsidRDefault="002D4340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D4340">
              <w:rPr>
                <w:i/>
                <w:sz w:val="16"/>
                <w:szCs w:val="16"/>
              </w:rPr>
              <w:t xml:space="preserve">Jernbanevirksomhederne og jernbaneinfrastrukturforvalterne skal udarbejde beredskabsplaner for håndtering af ekstraordinære situationer. 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800364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2D4340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§ 9, stk. 3</w:t>
            </w:r>
          </w:p>
        </w:tc>
        <w:tc>
          <w:tcPr>
            <w:tcW w:w="7732" w:type="dxa"/>
            <w:gridSpan w:val="2"/>
          </w:tcPr>
          <w:p w:rsidR="00800364" w:rsidRPr="00800364" w:rsidRDefault="002D4340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D4340">
              <w:rPr>
                <w:i/>
                <w:sz w:val="16"/>
                <w:szCs w:val="16"/>
              </w:rPr>
              <w:t>Jernbanevirksomhederne og jernbaneinfrastrukturforvalterne skal dokumentere, at de indbyrdes har koordineret indhold og omfang af beredskabsarbejdet</w:t>
            </w:r>
            <w:r>
              <w:rPr>
                <w:i/>
                <w:sz w:val="16"/>
                <w:szCs w:val="16"/>
              </w:rPr>
              <w:t xml:space="preserve"> …</w:t>
            </w:r>
          </w:p>
        </w:tc>
      </w:tr>
      <w:tr w:rsidR="00F46910" w:rsidRPr="001D15FE" w:rsidTr="00F46910">
        <w:tc>
          <w:tcPr>
            <w:tcW w:w="988" w:type="dxa"/>
            <w:tcMar>
              <w:left w:w="57" w:type="dxa"/>
              <w:right w:w="57" w:type="dxa"/>
            </w:tcMar>
          </w:tcPr>
          <w:p w:rsidR="00800364" w:rsidRPr="00F46910" w:rsidRDefault="00800364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800364" w:rsidRPr="001D15FE" w:rsidRDefault="00800364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9174B9" w:rsidRPr="001D15FE" w:rsidTr="009174B9">
        <w:tc>
          <w:tcPr>
            <w:tcW w:w="988" w:type="dxa"/>
            <w:tcMar>
              <w:left w:w="57" w:type="dxa"/>
              <w:right w:w="28" w:type="dxa"/>
            </w:tcMar>
          </w:tcPr>
          <w:p w:rsidR="009174B9" w:rsidRPr="009174B9" w:rsidRDefault="009174B9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9174B9">
              <w:rPr>
                <w:i/>
                <w:spacing w:val="-4"/>
                <w:sz w:val="16"/>
                <w:szCs w:val="16"/>
              </w:rPr>
              <w:t>§ 12, stk. 1</w:t>
            </w:r>
          </w:p>
        </w:tc>
        <w:tc>
          <w:tcPr>
            <w:tcW w:w="7732" w:type="dxa"/>
            <w:gridSpan w:val="2"/>
          </w:tcPr>
          <w:p w:rsidR="009174B9" w:rsidRPr="00800364" w:rsidRDefault="009174B9" w:rsidP="006E3AB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174B9">
              <w:rPr>
                <w:i/>
                <w:sz w:val="16"/>
                <w:szCs w:val="16"/>
              </w:rPr>
              <w:t>Jernbanevirksomheder og jernbaneinfrastrukturforvaltere skal sikre, at de medarbejdere, der indgår i beredskabet, løbende modtager den fornødne instruktion, uddannelse og træning i disse opgaver.</w:t>
            </w:r>
          </w:p>
        </w:tc>
      </w:tr>
      <w:tr w:rsidR="009174B9" w:rsidRPr="001D15FE" w:rsidTr="009174B9">
        <w:tc>
          <w:tcPr>
            <w:tcW w:w="988" w:type="dxa"/>
            <w:tcMar>
              <w:left w:w="57" w:type="dxa"/>
              <w:right w:w="28" w:type="dxa"/>
            </w:tcMar>
          </w:tcPr>
          <w:p w:rsidR="009174B9" w:rsidRPr="009174B9" w:rsidRDefault="009174B9" w:rsidP="0088202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:rsidR="009174B9" w:rsidRPr="001D15FE" w:rsidRDefault="009174B9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9174B9" w:rsidRPr="001D15FE" w:rsidRDefault="009174B9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9174B9" w:rsidRPr="001D15FE" w:rsidTr="009174B9">
        <w:tc>
          <w:tcPr>
            <w:tcW w:w="988" w:type="dxa"/>
            <w:tcMar>
              <w:left w:w="57" w:type="dxa"/>
              <w:right w:w="28" w:type="dxa"/>
            </w:tcMar>
          </w:tcPr>
          <w:p w:rsidR="009174B9" w:rsidRPr="009174B9" w:rsidRDefault="009174B9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9174B9">
              <w:rPr>
                <w:i/>
                <w:spacing w:val="-4"/>
                <w:sz w:val="16"/>
                <w:szCs w:val="16"/>
              </w:rPr>
              <w:t>§ 13, stk. 1</w:t>
            </w:r>
          </w:p>
        </w:tc>
        <w:tc>
          <w:tcPr>
            <w:tcW w:w="7732" w:type="dxa"/>
            <w:gridSpan w:val="2"/>
          </w:tcPr>
          <w:p w:rsidR="009174B9" w:rsidRPr="00800364" w:rsidRDefault="005412B1" w:rsidP="006E3AB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12B1">
              <w:rPr>
                <w:i/>
                <w:sz w:val="16"/>
                <w:szCs w:val="16"/>
              </w:rPr>
              <w:t>Jernbanevirksomheder og jernbaneinfrastrukturforvaltere skal afholde beredskabsøvelser, der afprøver deres sikrings- og beredskabsplaner udarbejdet efter § 7 og § 8.</w:t>
            </w:r>
          </w:p>
        </w:tc>
      </w:tr>
      <w:tr w:rsidR="009174B9" w:rsidRPr="001D15FE" w:rsidTr="009174B9">
        <w:tc>
          <w:tcPr>
            <w:tcW w:w="988" w:type="dxa"/>
            <w:tcMar>
              <w:left w:w="57" w:type="dxa"/>
              <w:right w:w="28" w:type="dxa"/>
            </w:tcMar>
          </w:tcPr>
          <w:p w:rsidR="009174B9" w:rsidRPr="009174B9" w:rsidRDefault="009174B9" w:rsidP="0088202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:rsidR="009174B9" w:rsidRPr="001D15FE" w:rsidRDefault="009174B9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9174B9" w:rsidRPr="001D15FE" w:rsidRDefault="009174B9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5412B1" w:rsidRPr="001D15FE" w:rsidTr="006E3AB7">
        <w:tc>
          <w:tcPr>
            <w:tcW w:w="988" w:type="dxa"/>
            <w:tcMar>
              <w:left w:w="57" w:type="dxa"/>
              <w:right w:w="28" w:type="dxa"/>
            </w:tcMar>
          </w:tcPr>
          <w:p w:rsidR="005412B1" w:rsidRPr="009174B9" w:rsidRDefault="005412B1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9174B9">
              <w:rPr>
                <w:i/>
                <w:spacing w:val="-4"/>
                <w:sz w:val="16"/>
                <w:szCs w:val="16"/>
              </w:rPr>
              <w:lastRenderedPageBreak/>
              <w:t xml:space="preserve">§ 13, stk. </w:t>
            </w:r>
            <w:r>
              <w:rPr>
                <w:i/>
                <w:spacing w:val="-4"/>
                <w:sz w:val="16"/>
                <w:szCs w:val="16"/>
              </w:rPr>
              <w:t>3</w:t>
            </w:r>
          </w:p>
        </w:tc>
        <w:tc>
          <w:tcPr>
            <w:tcW w:w="7732" w:type="dxa"/>
            <w:gridSpan w:val="2"/>
          </w:tcPr>
          <w:p w:rsidR="005412B1" w:rsidRPr="00800364" w:rsidRDefault="005412B1" w:rsidP="006E3AB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12B1">
              <w:rPr>
                <w:i/>
                <w:spacing w:val="-2"/>
                <w:sz w:val="16"/>
                <w:szCs w:val="16"/>
              </w:rPr>
              <w:t>Jernbanevirksomhederne og jernbaneinfrastrukturforvalterne skal skriftligt udarbejde en evaluering</w:t>
            </w:r>
            <w:r w:rsidRPr="005412B1">
              <w:rPr>
                <w:i/>
                <w:sz w:val="16"/>
                <w:szCs w:val="16"/>
              </w:rPr>
              <w:t xml:space="preserve"> af hver afholdt øvelse, herunder dennes forløb og de opnåede erfaringer samt planlagt opfølgning af evalueringen, herunder eventuelt ændring af beredskabs- eller sik</w:t>
            </w:r>
            <w:r w:rsidR="00174DD5">
              <w:rPr>
                <w:i/>
                <w:sz w:val="16"/>
                <w:szCs w:val="16"/>
              </w:rPr>
              <w:t>ringsplanen og tidsplan herfor.</w:t>
            </w:r>
          </w:p>
        </w:tc>
      </w:tr>
      <w:tr w:rsidR="005412B1" w:rsidRPr="001D15FE" w:rsidTr="006E3AB7">
        <w:tc>
          <w:tcPr>
            <w:tcW w:w="988" w:type="dxa"/>
            <w:tcMar>
              <w:left w:w="57" w:type="dxa"/>
              <w:right w:w="28" w:type="dxa"/>
            </w:tcMar>
          </w:tcPr>
          <w:p w:rsidR="005412B1" w:rsidRPr="009174B9" w:rsidRDefault="005412B1" w:rsidP="0088202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:rsidR="005412B1" w:rsidRPr="001D15FE" w:rsidRDefault="005412B1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5412B1" w:rsidRPr="001D15FE" w:rsidRDefault="005412B1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5412B1" w:rsidRPr="00841FFD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5412B1" w:rsidRPr="00F46910" w:rsidRDefault="005412B1" w:rsidP="0088202B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5412B1" w:rsidRPr="00841FFD" w:rsidRDefault="0088202B" w:rsidP="00CB2E6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88202B">
              <w:rPr>
                <w:b/>
                <w:sz w:val="16"/>
                <w:szCs w:val="16"/>
              </w:rPr>
              <w:t xml:space="preserve">BJ 2-1-2011 Bestemmelser </w:t>
            </w:r>
            <w:r w:rsidR="00CB2E6F">
              <w:rPr>
                <w:b/>
                <w:sz w:val="16"/>
                <w:szCs w:val="16"/>
              </w:rPr>
              <w:t>om gennemførelse af de grundlæg</w:t>
            </w:r>
            <w:r w:rsidRPr="0088202B">
              <w:rPr>
                <w:b/>
                <w:sz w:val="16"/>
                <w:szCs w:val="16"/>
              </w:rPr>
              <w:t>gende parametre for registre over licenser og supplerende certifikater til lokomotivførere</w:t>
            </w:r>
          </w:p>
        </w:tc>
      </w:tr>
      <w:tr w:rsidR="008B43E3" w:rsidRPr="00D3213E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8B43E3" w:rsidRPr="008C2B48" w:rsidRDefault="008B43E3" w:rsidP="008B43E3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Afsnit 2 samt bilag</w:t>
            </w:r>
          </w:p>
        </w:tc>
        <w:tc>
          <w:tcPr>
            <w:tcW w:w="7732" w:type="dxa"/>
            <w:gridSpan w:val="2"/>
          </w:tcPr>
          <w:p w:rsidR="008B43E3" w:rsidRPr="00D3213E" w:rsidRDefault="008B43E3" w:rsidP="008B43E3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3122C2">
              <w:rPr>
                <w:i/>
                <w:spacing w:val="-2"/>
                <w:sz w:val="16"/>
                <w:szCs w:val="16"/>
              </w:rPr>
              <w:t>Kommissionens beslutning af 29. oktober 2009 om vedtagelse af grundlæggende parametre for registre over licenser og supplerende certifikater til lokomotivførere</w:t>
            </w:r>
            <w:r>
              <w:rPr>
                <w:i/>
                <w:spacing w:val="-2"/>
                <w:sz w:val="16"/>
                <w:szCs w:val="16"/>
              </w:rPr>
              <w:t xml:space="preserve"> … </w:t>
            </w:r>
            <w:r w:rsidRPr="003122C2">
              <w:rPr>
                <w:i/>
                <w:spacing w:val="-2"/>
                <w:sz w:val="16"/>
                <w:szCs w:val="16"/>
              </w:rPr>
              <w:t xml:space="preserve">fastsætter de grundlæggende parametre, herunder indsamling af oplysninger, dataformat, adgangsrettigheder, dataudveksling m.v., som </w:t>
            </w:r>
            <w:r>
              <w:rPr>
                <w:i/>
                <w:spacing w:val="-2"/>
                <w:sz w:val="16"/>
                <w:szCs w:val="16"/>
              </w:rPr>
              <w:t>…</w:t>
            </w:r>
            <w:r w:rsidRPr="003122C2">
              <w:rPr>
                <w:i/>
                <w:spacing w:val="-2"/>
                <w:sz w:val="16"/>
                <w:szCs w:val="16"/>
              </w:rPr>
              <w:t xml:space="preserve"> certifikatregistre for lokomotivførere skal indeholde.</w:t>
            </w:r>
          </w:p>
        </w:tc>
      </w:tr>
      <w:tr w:rsidR="005412B1" w:rsidRPr="00D3213E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5412B1" w:rsidRPr="00D3213E" w:rsidRDefault="005412B1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412B1" w:rsidRPr="00D3213E" w:rsidRDefault="005412B1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5412B1" w:rsidRPr="00D3213E" w:rsidRDefault="005412B1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D3213E" w:rsidRPr="00841FFD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D3213E" w:rsidRPr="00F46910" w:rsidRDefault="00D3213E" w:rsidP="0088202B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D3213E" w:rsidRPr="00841FFD" w:rsidRDefault="00D3213E" w:rsidP="006E3AB7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841FFD">
              <w:rPr>
                <w:b/>
                <w:sz w:val="16"/>
                <w:szCs w:val="16"/>
              </w:rPr>
              <w:t xml:space="preserve">BEK </w:t>
            </w:r>
            <w:proofErr w:type="spellStart"/>
            <w:r w:rsidRPr="00841FFD">
              <w:rPr>
                <w:b/>
                <w:sz w:val="16"/>
                <w:szCs w:val="16"/>
              </w:rPr>
              <w:t>nr</w:t>
            </w:r>
            <w:proofErr w:type="spellEnd"/>
            <w:r w:rsidRPr="00841FFD">
              <w:rPr>
                <w:b/>
                <w:sz w:val="16"/>
                <w:szCs w:val="16"/>
              </w:rPr>
              <w:t xml:space="preserve"> 541 af 12/06/2012 Bekendtgørelse om anvendelse af RID i national transport og transport af farligt gods i håndbagage m.v.</w:t>
            </w:r>
          </w:p>
        </w:tc>
      </w:tr>
      <w:tr w:rsidR="00D3213E" w:rsidRPr="00D3213E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D3213E" w:rsidRPr="00D3213E" w:rsidRDefault="00D3213E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§ 4, stk. 2</w:t>
            </w:r>
          </w:p>
        </w:tc>
        <w:tc>
          <w:tcPr>
            <w:tcW w:w="7732" w:type="dxa"/>
            <w:gridSpan w:val="2"/>
          </w:tcPr>
          <w:p w:rsidR="00D3213E" w:rsidRPr="00D3213E" w:rsidRDefault="00D3213E" w:rsidP="00F33E21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Farligt gods, der transporteres på et køretøj, skal være forsvarligt stuvet, fastgjort eller fastkilet, så det farlige gods ikke kan forskubbe sig under normale transportforhold.</w:t>
            </w:r>
            <w:r w:rsidR="00F33E21">
              <w:rPr>
                <w:i/>
                <w:spacing w:val="-2"/>
                <w:sz w:val="16"/>
                <w:szCs w:val="16"/>
              </w:rPr>
              <w:t xml:space="preserve"> </w:t>
            </w:r>
            <w:r w:rsidR="00544712">
              <w:rPr>
                <w:i/>
                <w:spacing w:val="-2"/>
                <w:sz w:val="16"/>
                <w:szCs w:val="16"/>
              </w:rPr>
              <w:t>(Kun relevant for virksomheder der foretager transport af farligt gods.)</w:t>
            </w:r>
          </w:p>
        </w:tc>
      </w:tr>
      <w:tr w:rsidR="00D3213E" w:rsidRPr="00D3213E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F355AA" w:rsidRPr="00D3213E" w:rsidRDefault="00F355AA" w:rsidP="0088202B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D3213E" w:rsidRPr="00D3213E" w:rsidRDefault="00D3213E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D3213E" w:rsidRPr="00D3213E" w:rsidRDefault="00D3213E" w:rsidP="006E3AB7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D3213E" w:rsidRPr="00D3213E" w:rsidTr="006E3AB7">
        <w:tc>
          <w:tcPr>
            <w:tcW w:w="988" w:type="dxa"/>
            <w:tcMar>
              <w:left w:w="28" w:type="dxa"/>
              <w:right w:w="28" w:type="dxa"/>
            </w:tcMar>
          </w:tcPr>
          <w:p w:rsidR="00D3213E" w:rsidRPr="00D3213E" w:rsidRDefault="00D3213E" w:rsidP="0088202B">
            <w:pPr>
              <w:spacing w:before="60" w:after="60" w:line="26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§ 10, stk. 1</w:t>
            </w:r>
          </w:p>
        </w:tc>
        <w:tc>
          <w:tcPr>
            <w:tcW w:w="7732" w:type="dxa"/>
            <w:gridSpan w:val="2"/>
          </w:tcPr>
          <w:p w:rsidR="00D3213E" w:rsidRPr="00D3213E" w:rsidRDefault="00D3213E" w:rsidP="00F33E21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Jernbanevirksomhederne skal ud fra de konkrete forhold i virksomheden vurdere, om det vil være nødvendigt at fastsætte bestemmelser om farligt passagergods, herunder fyrværkeri i deres ordens- og sikkerhedsbestemmelser. Virksomhederne vil her skulle forholde sig til farligt passagergods, herunder fyrværkeri på tilsvarende måde, som virksomhederne behandler andre ordensforhold.</w:t>
            </w:r>
            <w:r w:rsidR="00F33E21">
              <w:rPr>
                <w:i/>
                <w:sz w:val="16"/>
                <w:szCs w:val="16"/>
              </w:rPr>
              <w:t xml:space="preserve"> </w:t>
            </w:r>
            <w:r w:rsidR="00544712">
              <w:rPr>
                <w:i/>
                <w:spacing w:val="-2"/>
                <w:sz w:val="16"/>
                <w:szCs w:val="16"/>
              </w:rPr>
              <w:t>(Kun relevant for virksomheder der foretager passagertrafik.)</w:t>
            </w:r>
          </w:p>
        </w:tc>
      </w:tr>
      <w:tr w:rsidR="00D3213E" w:rsidRPr="005412B1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D3213E" w:rsidRPr="005412B1" w:rsidRDefault="00D3213E" w:rsidP="00F355AA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D3213E" w:rsidRPr="005412B1" w:rsidRDefault="00D3213E" w:rsidP="006E3AB7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D3213E" w:rsidRPr="005412B1" w:rsidRDefault="00D3213E" w:rsidP="006E3AB7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  <w:tr w:rsidR="0088202B" w:rsidRPr="0088202B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88202B" w:rsidRPr="00F46910" w:rsidRDefault="0088202B" w:rsidP="0088202B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88202B" w:rsidRPr="0088202B" w:rsidRDefault="005E2321" w:rsidP="005E2321">
            <w:pPr>
              <w:spacing w:before="60" w:after="60" w:line="260" w:lineRule="exact"/>
              <w:rPr>
                <w:b/>
                <w:sz w:val="16"/>
                <w:szCs w:val="16"/>
                <w:highlight w:val="yellow"/>
              </w:rPr>
            </w:pPr>
            <w:r w:rsidRPr="005E2321">
              <w:rPr>
                <w:b/>
                <w:sz w:val="16"/>
                <w:szCs w:val="16"/>
              </w:rPr>
              <w:t>BJ 5-3-2015 Bestemmelser for jernbane for drifts- og trafikstyringsregler (DTR) på jernbaneområdet</w:t>
            </w:r>
          </w:p>
        </w:tc>
      </w:tr>
      <w:tr w:rsidR="005F62B2" w:rsidRPr="0088202B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5F62B2" w:rsidRPr="005F62B2" w:rsidRDefault="005F62B2" w:rsidP="005F62B2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F62B2">
              <w:rPr>
                <w:i/>
                <w:sz w:val="16"/>
                <w:szCs w:val="16"/>
              </w:rPr>
              <w:t>3.2 samt bilag 1</w:t>
            </w:r>
          </w:p>
        </w:tc>
        <w:tc>
          <w:tcPr>
            <w:tcW w:w="7732" w:type="dxa"/>
            <w:gridSpan w:val="2"/>
          </w:tcPr>
          <w:p w:rsidR="005F62B2" w:rsidRPr="005E2321" w:rsidRDefault="005F62B2" w:rsidP="005F62B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E2321">
              <w:rPr>
                <w:i/>
                <w:spacing w:val="-2"/>
                <w:sz w:val="16"/>
                <w:szCs w:val="16"/>
              </w:rPr>
              <w:t>Infrastrukturforvaltere og jernbanevirksomhederne skal dokumentere, at de har udmøntet de regler for drift og trafikstyring, som er angivet i bilag 1, jf. deres godkendte sikkerhedsledelsessystem.</w:t>
            </w:r>
          </w:p>
        </w:tc>
      </w:tr>
      <w:tr w:rsidR="0088202B" w:rsidRPr="0088202B" w:rsidTr="006E3AB7">
        <w:tc>
          <w:tcPr>
            <w:tcW w:w="988" w:type="dxa"/>
            <w:tcMar>
              <w:left w:w="57" w:type="dxa"/>
              <w:right w:w="57" w:type="dxa"/>
            </w:tcMar>
          </w:tcPr>
          <w:p w:rsidR="0088202B" w:rsidRPr="0088202B" w:rsidRDefault="0088202B" w:rsidP="0088202B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88202B" w:rsidRPr="0088202B" w:rsidRDefault="0088202B" w:rsidP="006E3AB7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88202B" w:rsidRPr="0088202B" w:rsidRDefault="0088202B" w:rsidP="006E3AB7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  <w:tr w:rsidR="00CC1359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CC1359" w:rsidRPr="00F46910" w:rsidRDefault="00CC1359" w:rsidP="00886DD4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CC1359" w:rsidRPr="0088202B" w:rsidRDefault="00CC1359" w:rsidP="00886DD4">
            <w:pPr>
              <w:spacing w:before="60" w:after="60" w:line="260" w:lineRule="exact"/>
              <w:rPr>
                <w:b/>
                <w:sz w:val="16"/>
                <w:szCs w:val="16"/>
                <w:highlight w:val="yellow"/>
              </w:rPr>
            </w:pPr>
            <w:r w:rsidRPr="00CC1359">
              <w:rPr>
                <w:b/>
                <w:sz w:val="16"/>
                <w:szCs w:val="16"/>
              </w:rPr>
              <w:t>BJ 5-1-2017 Bestemmelser om kørsel på jernbaneinfrastruktur med togkontrol</w:t>
            </w:r>
          </w:p>
        </w:tc>
      </w:tr>
      <w:tr w:rsidR="00CC1359" w:rsidRPr="00795089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CC1359" w:rsidRPr="00795089" w:rsidRDefault="00135FA5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7732" w:type="dxa"/>
            <w:gridSpan w:val="2"/>
          </w:tcPr>
          <w:p w:rsidR="00795089" w:rsidRPr="00795089" w:rsidRDefault="00135FA5" w:rsidP="00795089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Krav til sammenhængen melle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m fast og mobilt togkontrolanlæg, herunder:</w:t>
            </w:r>
          </w:p>
          <w:p w:rsidR="00795089" w:rsidRPr="00795089" w:rsidRDefault="00795089" w:rsidP="00795089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4.2</w:t>
            </w:r>
            <w:r>
              <w:rPr>
                <w:i/>
                <w:spacing w:val="-2"/>
                <w:sz w:val="16"/>
                <w:szCs w:val="16"/>
              </w:rPr>
              <w:t>.</w:t>
            </w:r>
            <w:r w:rsidRPr="00795089">
              <w:rPr>
                <w:i/>
                <w:spacing w:val="-2"/>
                <w:sz w:val="16"/>
                <w:szCs w:val="16"/>
              </w:rPr>
              <w:t xml:space="preserve"> Jernbaneinfrastrukturforvalteren fastsætter nærmere krav for kørsel med tog uden mobilt togkontrolanlæg på strækninger med faste togkontrolanlæg.</w:t>
            </w:r>
          </w:p>
        </w:tc>
      </w:tr>
      <w:tr w:rsidR="00CC1359" w:rsidRPr="00795089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CC1359" w:rsidRPr="00795089" w:rsidRDefault="00CC1359" w:rsidP="00886DD4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CC1359" w:rsidRPr="00795089" w:rsidRDefault="00CC1359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CC1359" w:rsidRPr="00795089" w:rsidRDefault="00CC1359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135FA5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135FA5" w:rsidRPr="00795089" w:rsidRDefault="00135FA5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7732" w:type="dxa"/>
            <w:gridSpan w:val="2"/>
          </w:tcPr>
          <w:p w:rsidR="00135FA5" w:rsidRPr="00795089" w:rsidRDefault="00135FA5" w:rsidP="00886DD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Betingelser for kørsel på tilslutninger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, herunder:</w:t>
            </w:r>
          </w:p>
          <w:p w:rsidR="00795089" w:rsidRPr="005E2321" w:rsidRDefault="00795089" w:rsidP="00886DD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5.1. Jernbaneinfrastrukturforvalteren fastsætter nærmere krav for kørsel på tilslutninger for den pågældende jernbanevirksomhed.</w:t>
            </w:r>
          </w:p>
        </w:tc>
      </w:tr>
      <w:tr w:rsidR="00135FA5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135FA5" w:rsidRPr="0088202B" w:rsidRDefault="00135FA5" w:rsidP="00886DD4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135FA5" w:rsidRPr="0088202B" w:rsidRDefault="00135FA5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135FA5" w:rsidRPr="0088202B" w:rsidRDefault="00135FA5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  <w:tr w:rsidR="005E2321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5E2321" w:rsidRPr="0088202B" w:rsidRDefault="0050718D" w:rsidP="00886DD4">
            <w:pPr>
              <w:spacing w:before="60" w:after="60" w:line="260" w:lineRule="exact"/>
              <w:rPr>
                <w:b/>
                <w:sz w:val="16"/>
                <w:szCs w:val="16"/>
                <w:highlight w:val="yellow"/>
              </w:rPr>
            </w:pPr>
            <w:r w:rsidRPr="0050718D">
              <w:rPr>
                <w:b/>
                <w:sz w:val="16"/>
                <w:szCs w:val="16"/>
              </w:rPr>
              <w:t>BJ 5-070.001-2017 Bestemmelser om transport af eksplosiver i jernbanetunnelerne på Storebælt og Øresund</w:t>
            </w:r>
          </w:p>
        </w:tc>
      </w:tr>
      <w:tr w:rsidR="005E2321" w:rsidRPr="0050718D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50718D" w:rsidRDefault="0050718D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2.1.</w:t>
            </w:r>
          </w:p>
        </w:tc>
        <w:tc>
          <w:tcPr>
            <w:tcW w:w="7732" w:type="dxa"/>
            <w:gridSpan w:val="2"/>
          </w:tcPr>
          <w:p w:rsidR="005E2321" w:rsidRPr="0050718D" w:rsidRDefault="0050718D" w:rsidP="00F16341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>Krav om mængdebegrænsning for eksplosiver i Storebæltstunnelen (Korsør-Nyborg)</w:t>
            </w:r>
            <w:r>
              <w:rPr>
                <w:i/>
                <w:spacing w:val="-2"/>
                <w:sz w:val="16"/>
                <w:szCs w:val="16"/>
              </w:rPr>
              <w:t xml:space="preserve"> … er </w:t>
            </w:r>
            <w:r w:rsidRPr="0050718D">
              <w:rPr>
                <w:i/>
                <w:spacing w:val="-2"/>
                <w:sz w:val="16"/>
                <w:szCs w:val="16"/>
              </w:rPr>
              <w:t>5.000 kg pr.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="000E2A4E">
              <w:rPr>
                <w:i/>
                <w:spacing w:val="-2"/>
                <w:sz w:val="16"/>
                <w:szCs w:val="16"/>
              </w:rPr>
              <w:t>vogn/</w:t>
            </w:r>
            <w:r>
              <w:rPr>
                <w:i/>
                <w:spacing w:val="-2"/>
                <w:sz w:val="16"/>
                <w:szCs w:val="16"/>
              </w:rPr>
              <w:t xml:space="preserve">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 w:rsidR="00FF312E">
              <w:rPr>
                <w:i/>
                <w:spacing w:val="-2"/>
                <w:sz w:val="16"/>
                <w:szCs w:val="16"/>
              </w:rPr>
              <w:t xml:space="preserve"> for fuldstændig ordlyd</w:t>
            </w:r>
            <w:r w:rsidR="000E2A4E">
              <w:rPr>
                <w:i/>
                <w:spacing w:val="-2"/>
                <w:sz w:val="16"/>
                <w:szCs w:val="16"/>
              </w:rPr>
              <w:t>).</w:t>
            </w:r>
          </w:p>
        </w:tc>
      </w:tr>
      <w:tr w:rsidR="00D34BF0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D34BF0" w:rsidRPr="0088202B" w:rsidRDefault="00D34BF0" w:rsidP="00886DD4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D34BF0" w:rsidRPr="0088202B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D34BF0" w:rsidRPr="0088202B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  <w:tr w:rsidR="0050718D" w:rsidRPr="0050718D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0718D" w:rsidRPr="0050718D" w:rsidRDefault="0050718D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2"/>
          </w:tcPr>
          <w:p w:rsidR="0050718D" w:rsidRPr="0050718D" w:rsidRDefault="000E2A4E" w:rsidP="00E15E26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 xml:space="preserve">Krav om mængdebegrænsning for eksplosiver i </w:t>
            </w:r>
            <w:r w:rsidRPr="000E2A4E">
              <w:rPr>
                <w:i/>
                <w:spacing w:val="-2"/>
                <w:sz w:val="16"/>
                <w:szCs w:val="16"/>
              </w:rPr>
              <w:t>Øresundstunnelen (Kastrup-Rigsgrænsen til Sverige)</w:t>
            </w:r>
            <w:r>
              <w:rPr>
                <w:i/>
                <w:spacing w:val="-2"/>
                <w:sz w:val="16"/>
                <w:szCs w:val="16"/>
              </w:rPr>
              <w:t xml:space="preserve"> … er 1</w:t>
            </w:r>
            <w:r w:rsidRPr="0050718D">
              <w:rPr>
                <w:i/>
                <w:spacing w:val="-2"/>
                <w:sz w:val="16"/>
                <w:szCs w:val="16"/>
              </w:rPr>
              <w:t>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</w:t>
            </w:r>
            <w:r w:rsidR="00FF312E">
              <w:rPr>
                <w:i/>
                <w:spacing w:val="-2"/>
                <w:sz w:val="16"/>
                <w:szCs w:val="16"/>
              </w:rPr>
              <w:t xml:space="preserve">se </w:t>
            </w:r>
            <w:r w:rsidR="00FF312E" w:rsidRPr="0050718D">
              <w:rPr>
                <w:i/>
                <w:spacing w:val="-2"/>
                <w:sz w:val="16"/>
                <w:szCs w:val="16"/>
              </w:rPr>
              <w:t>BJ</w:t>
            </w:r>
            <w:r w:rsidR="00FF312E">
              <w:rPr>
                <w:i/>
                <w:spacing w:val="-2"/>
                <w:sz w:val="16"/>
                <w:szCs w:val="16"/>
              </w:rPr>
              <w:t xml:space="preserve"> for fuldstændig ordlyd</w:t>
            </w:r>
            <w:r>
              <w:rPr>
                <w:i/>
                <w:spacing w:val="-2"/>
                <w:sz w:val="16"/>
                <w:szCs w:val="16"/>
              </w:rPr>
              <w:t>).</w:t>
            </w:r>
          </w:p>
        </w:tc>
      </w:tr>
      <w:tr w:rsidR="00D34BF0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D34BF0" w:rsidRPr="0088202B" w:rsidRDefault="00D34BF0" w:rsidP="00886DD4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D34BF0" w:rsidRPr="0088202B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D34BF0" w:rsidRPr="0088202B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  <w:tr w:rsidR="0050718D" w:rsidRPr="0050718D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0718D" w:rsidRPr="0050718D" w:rsidRDefault="0050718D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4.1 og 4.2</w:t>
            </w:r>
          </w:p>
        </w:tc>
        <w:tc>
          <w:tcPr>
            <w:tcW w:w="7732" w:type="dxa"/>
            <w:gridSpan w:val="2"/>
          </w:tcPr>
          <w:p w:rsidR="0050718D" w:rsidRPr="0050718D" w:rsidRDefault="00E15E26" w:rsidP="00E15E26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15E26">
              <w:rPr>
                <w:i/>
                <w:spacing w:val="-4"/>
                <w:sz w:val="16"/>
                <w:szCs w:val="16"/>
              </w:rPr>
              <w:t>Krav om beskyttelsesafstand mellem vogne/”transportenheder” med farligt gods … er en afstand</w:t>
            </w:r>
            <w:r w:rsidRPr="00E15E26">
              <w:rPr>
                <w:i/>
                <w:spacing w:val="-2"/>
                <w:sz w:val="16"/>
                <w:szCs w:val="16"/>
              </w:rPr>
              <w:t xml:space="preserve"> på mindst 18 m, eller en afstand, der svarer til længden på </w:t>
            </w:r>
            <w:proofErr w:type="spellStart"/>
            <w:r w:rsidRPr="00E15E26">
              <w:rPr>
                <w:i/>
                <w:spacing w:val="-2"/>
                <w:sz w:val="16"/>
                <w:szCs w:val="16"/>
              </w:rPr>
              <w:t>toakslede</w:t>
            </w:r>
            <w:proofErr w:type="spellEnd"/>
            <w:r w:rsidRPr="00E15E26">
              <w:rPr>
                <w:i/>
                <w:spacing w:val="-2"/>
                <w:sz w:val="16"/>
                <w:szCs w:val="16"/>
              </w:rPr>
              <w:t xml:space="preserve"> vogne eller én fire- eller flerakslet vogn</w:t>
            </w:r>
            <w:r w:rsidR="00E80840">
              <w:rPr>
                <w:i/>
                <w:spacing w:val="-2"/>
                <w:sz w:val="16"/>
                <w:szCs w:val="16"/>
              </w:rPr>
              <w:t xml:space="preserve"> (</w:t>
            </w:r>
            <w:r w:rsidR="00FF312E">
              <w:rPr>
                <w:i/>
                <w:spacing w:val="-2"/>
                <w:sz w:val="16"/>
                <w:szCs w:val="16"/>
              </w:rPr>
              <w:t xml:space="preserve">se </w:t>
            </w:r>
            <w:r w:rsidR="00FF312E" w:rsidRPr="0050718D">
              <w:rPr>
                <w:i/>
                <w:spacing w:val="-2"/>
                <w:sz w:val="16"/>
                <w:szCs w:val="16"/>
              </w:rPr>
              <w:t>BJ</w:t>
            </w:r>
            <w:r w:rsidR="00FF312E">
              <w:rPr>
                <w:i/>
                <w:spacing w:val="-2"/>
                <w:sz w:val="16"/>
                <w:szCs w:val="16"/>
              </w:rPr>
              <w:t xml:space="preserve"> for fuldstændig ordlyd</w:t>
            </w:r>
            <w:r w:rsidR="00E80840">
              <w:rPr>
                <w:i/>
                <w:spacing w:val="-2"/>
                <w:sz w:val="16"/>
                <w:szCs w:val="16"/>
              </w:rPr>
              <w:t>)</w:t>
            </w:r>
            <w:r w:rsidRPr="00E15E26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5E2321" w:rsidRPr="0088202B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50718D" w:rsidRDefault="005E2321" w:rsidP="00886DD4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E2321" w:rsidRPr="0050718D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5E2321" w:rsidRPr="0050718D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D34BF0" w:rsidRPr="00D34BF0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D34BF0" w:rsidRPr="00F46910" w:rsidRDefault="00D34BF0" w:rsidP="00886DD4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D34BF0" w:rsidRPr="00D34BF0" w:rsidRDefault="00E80840" w:rsidP="00886DD4">
            <w:pPr>
              <w:spacing w:before="60" w:after="60" w:line="260" w:lineRule="exact"/>
              <w:rPr>
                <w:b/>
                <w:sz w:val="16"/>
                <w:szCs w:val="16"/>
                <w:highlight w:val="yellow"/>
              </w:rPr>
            </w:pPr>
            <w:r w:rsidRPr="00E80840">
              <w:rPr>
                <w:b/>
                <w:sz w:val="16"/>
                <w:szCs w:val="16"/>
              </w:rPr>
              <w:t xml:space="preserve">BEK </w:t>
            </w:r>
            <w:proofErr w:type="spellStart"/>
            <w:r w:rsidRPr="00E80840">
              <w:rPr>
                <w:b/>
                <w:sz w:val="16"/>
                <w:szCs w:val="16"/>
              </w:rPr>
              <w:t>nr</w:t>
            </w:r>
            <w:proofErr w:type="spellEnd"/>
            <w:r w:rsidRPr="00E80840">
              <w:rPr>
                <w:b/>
                <w:sz w:val="16"/>
                <w:szCs w:val="16"/>
              </w:rPr>
              <w:t xml:space="preserve"> 1212 af 20/11/2017 om certificering af lokomotivførere</w:t>
            </w:r>
          </w:p>
        </w:tc>
      </w:tr>
      <w:tr w:rsidR="00D34BF0" w:rsidRPr="00D34BF0" w:rsidTr="005F62B2">
        <w:tc>
          <w:tcPr>
            <w:tcW w:w="988" w:type="dxa"/>
            <w:tcMar>
              <w:left w:w="28" w:type="dxa"/>
              <w:right w:w="28" w:type="dxa"/>
            </w:tcMar>
          </w:tcPr>
          <w:p w:rsidR="00D34BF0" w:rsidRPr="005F62B2" w:rsidRDefault="005F62B2" w:rsidP="005F62B2">
            <w:pPr>
              <w:spacing w:before="60" w:after="60" w:line="26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14.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>tk. 5</w:t>
            </w:r>
          </w:p>
        </w:tc>
        <w:tc>
          <w:tcPr>
            <w:tcW w:w="7732" w:type="dxa"/>
            <w:gridSpan w:val="2"/>
          </w:tcPr>
          <w:p w:rsidR="005F62B2" w:rsidRPr="005F62B2" w:rsidRDefault="005F62B2" w:rsidP="005F62B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Virksomheden, jf. stk. 1, fastsætter i overensstemmelse med denne bekendtgørelse:</w:t>
            </w:r>
          </w:p>
          <w:p w:rsidR="005F62B2" w:rsidRPr="005F62B2" w:rsidRDefault="005F62B2" w:rsidP="005F62B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4"/>
                <w:sz w:val="16"/>
                <w:szCs w:val="16"/>
              </w:rPr>
              <w:t>1) procedurer for udstedelse og ajourføring af certifikater som led i sit sikkerhedsledelsessystem,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der er foreskrevet i Rådets Direktiv </w:t>
            </w:r>
            <w:r w:rsidR="00535C3D">
              <w:rPr>
                <w:i/>
                <w:spacing w:val="-2"/>
                <w:sz w:val="16"/>
                <w:szCs w:val="16"/>
              </w:rPr>
              <w:t>…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og</w:t>
            </w:r>
          </w:p>
          <w:p w:rsidR="00D34BF0" w:rsidRPr="00D34BF0" w:rsidRDefault="005F62B2" w:rsidP="005F62B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2) klageprocedurer, der giver lokomotivføreren mulighed for at anmode om fornyet behandling af en beslutning i forbindelse med udstedelse, ajourføring, suspension eller inddragelse af et certifikat.</w:t>
            </w:r>
          </w:p>
        </w:tc>
      </w:tr>
      <w:tr w:rsidR="00D34BF0" w:rsidRPr="00D34BF0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D34BF0" w:rsidRPr="00D34BF0" w:rsidRDefault="00D34BF0" w:rsidP="00886DD4">
            <w:pPr>
              <w:spacing w:before="60" w:after="60" w:line="26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D34BF0" w:rsidRPr="00D34BF0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05" w:type="dxa"/>
          </w:tcPr>
          <w:p w:rsidR="00D34BF0" w:rsidRPr="00D34BF0" w:rsidRDefault="00D34BF0" w:rsidP="00886DD4">
            <w:pPr>
              <w:spacing w:before="60" w:after="60" w:line="260" w:lineRule="exact"/>
              <w:rPr>
                <w:sz w:val="16"/>
                <w:szCs w:val="16"/>
                <w:highlight w:val="yellow"/>
              </w:rPr>
            </w:pPr>
          </w:p>
        </w:tc>
      </w:tr>
    </w:tbl>
    <w:p w:rsidR="00E04906" w:rsidRDefault="00E04906" w:rsidP="00A0592A"/>
    <w:p w:rsidR="007C30C0" w:rsidRDefault="007C30C0">
      <w:pPr>
        <w:spacing w:after="0" w:line="240" w:lineRule="auto"/>
        <w:rPr>
          <w:rFonts w:cs="Arial"/>
          <w:b/>
          <w:bCs/>
          <w:sz w:val="22"/>
          <w:szCs w:val="22"/>
        </w:rPr>
      </w:pPr>
      <w:r>
        <w:br w:type="page"/>
      </w:r>
    </w:p>
    <w:p w:rsidR="000F6FCD" w:rsidRDefault="00205DEB" w:rsidP="000F6FCD">
      <w:pPr>
        <w:pStyle w:val="Titeloverskrift"/>
        <w:spacing w:before="0"/>
      </w:pPr>
      <w:r w:rsidRPr="00205DEB">
        <w:lastRenderedPageBreak/>
        <w:t>Eksempel på udfy</w:t>
      </w:r>
      <w:r>
        <w:t>ldelse af krydsreferencelisten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5E2321" w:rsidRPr="001D15FE" w:rsidTr="00886DD4"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E2321" w:rsidRPr="00F46910" w:rsidRDefault="005E2321" w:rsidP="00AC6D94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 w:rsidR="00AC6D94"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:rsidR="005E2321" w:rsidRPr="001D15FE" w:rsidRDefault="005E2321" w:rsidP="00886DD4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:rsidR="005E2321" w:rsidRPr="001D15FE" w:rsidRDefault="005E2321" w:rsidP="00886DD4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5E2321" w:rsidRPr="00C07C9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:rsidR="005E2321" w:rsidRPr="00C07C9E" w:rsidRDefault="005E2321" w:rsidP="00886DD4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C07C9E">
              <w:rPr>
                <w:b/>
                <w:sz w:val="16"/>
                <w:szCs w:val="16"/>
              </w:rPr>
              <w:t xml:space="preserve">BEK </w:t>
            </w:r>
            <w:proofErr w:type="spellStart"/>
            <w:r w:rsidRPr="00C07C9E">
              <w:rPr>
                <w:b/>
                <w:sz w:val="16"/>
                <w:szCs w:val="16"/>
              </w:rPr>
              <w:t>nr</w:t>
            </w:r>
            <w:proofErr w:type="spellEnd"/>
            <w:r w:rsidRPr="00C07C9E">
              <w:rPr>
                <w:b/>
                <w:sz w:val="16"/>
                <w:szCs w:val="16"/>
              </w:rPr>
              <w:t xml:space="preserve"> 1312 af 16/12/2008 o</w:t>
            </w:r>
            <w:r>
              <w:rPr>
                <w:b/>
                <w:sz w:val="16"/>
                <w:szCs w:val="16"/>
              </w:rPr>
              <w:t>m jernbanevirksomheders og jern</w:t>
            </w:r>
            <w:r w:rsidRPr="00C07C9E">
              <w:rPr>
                <w:b/>
                <w:sz w:val="16"/>
                <w:szCs w:val="16"/>
              </w:rPr>
              <w:t>baneinfrastrukturforvalteres beredskabsarbejde</w:t>
            </w:r>
          </w:p>
        </w:tc>
      </w:tr>
      <w:tr w:rsidR="005E2321" w:rsidRPr="001D15F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4, stk. 1</w:t>
            </w:r>
          </w:p>
        </w:tc>
        <w:tc>
          <w:tcPr>
            <w:tcW w:w="7732" w:type="dxa"/>
            <w:gridSpan w:val="2"/>
          </w:tcPr>
          <w:p w:rsidR="005E2321" w:rsidRPr="00800364" w:rsidRDefault="005E2321" w:rsidP="00886DD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pacing w:val="-2"/>
                <w:sz w:val="16"/>
                <w:szCs w:val="16"/>
              </w:rPr>
              <w:t>Jernbanevirksomheder og jernbaneinfrastrukturforvaltere skal foretage beredskabsplanlægning</w:t>
            </w:r>
            <w:r w:rsidRPr="00800364">
              <w:rPr>
                <w:i/>
                <w:sz w:val="16"/>
                <w:szCs w:val="16"/>
              </w:rPr>
              <w:t xml:space="preserve"> for forebyggelse og håndtering af ekstraordinære situationer, jf. § 1, stk. 2. </w:t>
            </w:r>
          </w:p>
        </w:tc>
      </w:tr>
      <w:tr w:rsidR="005E2321" w:rsidRPr="001D15F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E2321" w:rsidRPr="001D15FE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 5.100.1 – Planlægning af beredskab</w:t>
            </w:r>
            <w:r>
              <w:rPr>
                <w:sz w:val="16"/>
                <w:szCs w:val="16"/>
              </w:rPr>
              <w:br/>
              <w:t>Dokument 5.100.1.1 – Overordnet beredskabsplan</w:t>
            </w:r>
          </w:p>
        </w:tc>
        <w:tc>
          <w:tcPr>
            <w:tcW w:w="3905" w:type="dxa"/>
          </w:tcPr>
          <w:p w:rsidR="005E2321" w:rsidRPr="001D15FE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  <w:tr w:rsidR="005E2321" w:rsidRPr="001D15F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F46910">
              <w:rPr>
                <w:i/>
                <w:sz w:val="16"/>
                <w:szCs w:val="16"/>
              </w:rPr>
              <w:t>§ 5, stk. 1</w:t>
            </w:r>
          </w:p>
        </w:tc>
        <w:tc>
          <w:tcPr>
            <w:tcW w:w="7732" w:type="dxa"/>
            <w:gridSpan w:val="2"/>
          </w:tcPr>
          <w:p w:rsidR="005E2321" w:rsidRPr="00800364" w:rsidRDefault="005E2321" w:rsidP="00886DD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00364">
              <w:rPr>
                <w:i/>
                <w:sz w:val="16"/>
                <w:szCs w:val="16"/>
              </w:rPr>
              <w:t>Jernbanevirksomhederne og jernbaneinfrastrukturforvalterne skal udpege en beredskabsansvarlig, der koordinerer virksomhedens beredskabsopgaver, herunder etablering af kommunikationslinjer for både intern og ekstern kommunikation.</w:t>
            </w:r>
          </w:p>
        </w:tc>
      </w:tr>
      <w:tr w:rsidR="005E2321" w:rsidRPr="001D15F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F46910" w:rsidRDefault="005E2321" w:rsidP="00886DD4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A27177" w:rsidRPr="001D15FE" w:rsidRDefault="005E2321" w:rsidP="006033D3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 2.100.1 – Fastlæggelse af sikkerhedsrelaterede funktioner</w:t>
            </w:r>
            <w:r>
              <w:rPr>
                <w:sz w:val="16"/>
                <w:szCs w:val="16"/>
              </w:rPr>
              <w:br/>
              <w:t>Dokument 2.100.1.1 –Funktioner og roller i jernbanesikkerhedsorganisationen</w:t>
            </w:r>
            <w:r>
              <w:rPr>
                <w:sz w:val="16"/>
                <w:szCs w:val="16"/>
              </w:rPr>
              <w:br/>
              <w:t>Dokument 2.200.1.1 – Organisationsdiagram</w:t>
            </w:r>
            <w:r w:rsidR="003D5551">
              <w:rPr>
                <w:sz w:val="16"/>
                <w:szCs w:val="16"/>
              </w:rPr>
              <w:t xml:space="preserve"> (jernbanesikkerhed)</w:t>
            </w:r>
          </w:p>
        </w:tc>
        <w:tc>
          <w:tcPr>
            <w:tcW w:w="3905" w:type="dxa"/>
          </w:tcPr>
          <w:p w:rsidR="005E2321" w:rsidRPr="001D15FE" w:rsidRDefault="006033D3" w:rsidP="00886DD4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NB: For </w:t>
            </w:r>
            <w:r w:rsidR="00FC2154">
              <w:rPr>
                <w:sz w:val="16"/>
                <w:szCs w:val="16"/>
              </w:rPr>
              <w:t xml:space="preserve">beredskabsansvarlig og </w:t>
            </w:r>
            <w:r w:rsidR="00DA5883">
              <w:rPr>
                <w:sz w:val="16"/>
                <w:szCs w:val="16"/>
              </w:rPr>
              <w:t>kommunikation ifm. b</w:t>
            </w:r>
            <w:r>
              <w:rPr>
                <w:sz w:val="16"/>
                <w:szCs w:val="16"/>
              </w:rPr>
              <w:t>eredskab, se</w:t>
            </w:r>
            <w:r w:rsidR="00FC2154">
              <w:rPr>
                <w:sz w:val="16"/>
                <w:szCs w:val="16"/>
              </w:rPr>
              <w:t xml:space="preserve"> endvidere</w:t>
            </w:r>
            <w:r>
              <w:rPr>
                <w:sz w:val="16"/>
                <w:szCs w:val="16"/>
              </w:rPr>
              <w:t xml:space="preserve"> CSM-SMS, punkt 5.5</w:t>
            </w:r>
            <w:r w:rsidR="00FC2154">
              <w:rPr>
                <w:sz w:val="16"/>
                <w:szCs w:val="16"/>
              </w:rPr>
              <w:t>.2, 5.5.3, 5.5.4, 5.5.7 og 5.5.8.</w:t>
            </w:r>
          </w:p>
        </w:tc>
      </w:tr>
      <w:tr w:rsidR="005E2321" w:rsidRPr="001D15FE" w:rsidTr="00886DD4">
        <w:tc>
          <w:tcPr>
            <w:tcW w:w="988" w:type="dxa"/>
            <w:tcMar>
              <w:left w:w="57" w:type="dxa"/>
              <w:right w:w="57" w:type="dxa"/>
            </w:tcMar>
          </w:tcPr>
          <w:p w:rsidR="005E2321" w:rsidRPr="005E2321" w:rsidRDefault="005E2321" w:rsidP="00886DD4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proofErr w:type="spellStart"/>
            <w:r w:rsidRPr="005E2321">
              <w:rPr>
                <w:i/>
                <w:sz w:val="16"/>
                <w:szCs w:val="16"/>
              </w:rPr>
              <w:t>Etc</w:t>
            </w:r>
            <w:proofErr w:type="spellEnd"/>
            <w:r w:rsidRPr="005E2321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827" w:type="dxa"/>
          </w:tcPr>
          <w:p w:rsidR="005E2321" w:rsidRPr="001D15FE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:rsidR="005E2321" w:rsidRPr="001D15FE" w:rsidRDefault="005E2321" w:rsidP="00886DD4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</w:tbl>
    <w:p w:rsidR="00A0592A" w:rsidRDefault="00A0592A" w:rsidP="00A0592A"/>
    <w:sectPr w:rsidR="00A0592A" w:rsidSect="00883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05" w:rsidRDefault="00B45105">
      <w:r>
        <w:separator/>
      </w:r>
    </w:p>
  </w:endnote>
  <w:endnote w:type="continuationSeparator" w:id="0">
    <w:p w:rsidR="00B45105" w:rsidRDefault="00B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57" w:rsidRDefault="00EB4D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AC6D94">
      <w:rPr>
        <w:noProof/>
      </w:rPr>
      <w:t>4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AC6D94">
      <w:rPr>
        <w:noProof/>
      </w:rPr>
      <w:t>4</w:t>
    </w:r>
    <w:r w:rsidR="00C844BC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B0" w:rsidRDefault="001D1E4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42E45A3" wp14:editId="6E324984">
          <wp:simplePos x="0" y="0"/>
          <wp:positionH relativeFrom="rightMargin">
            <wp:posOffset>-1008380</wp:posOffset>
          </wp:positionH>
          <wp:positionV relativeFrom="paragraph">
            <wp:posOffset>-187960</wp:posOffset>
          </wp:positionV>
          <wp:extent cx="1400400" cy="439200"/>
          <wp:effectExtent l="0" t="0" r="0" b="0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AC6D94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AC6D94">
      <w:rPr>
        <w:rStyle w:val="Sidetal"/>
        <w:noProof/>
      </w:rPr>
      <w:t>4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05" w:rsidRDefault="00B45105">
      <w:r>
        <w:separator/>
      </w:r>
    </w:p>
  </w:footnote>
  <w:footnote w:type="continuationSeparator" w:id="0">
    <w:p w:rsidR="00B45105" w:rsidRDefault="00B4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57" w:rsidRDefault="00EB4D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57" w:rsidRDefault="00EB4D5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172" w:rsidRPr="004F15FD" w:rsidRDefault="00D95836" w:rsidP="00162172">
    <w:pPr>
      <w:rPr>
        <w:color w:val="808080" w:themeColor="background1" w:themeShade="80"/>
        <w:sz w:val="16"/>
      </w:rPr>
    </w:pP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4384" behindDoc="0" locked="0" layoutInCell="1" allowOverlap="1" wp14:anchorId="392BCD6F" wp14:editId="6074E92C">
          <wp:simplePos x="0" y="0"/>
          <wp:positionH relativeFrom="column">
            <wp:posOffset>3550920</wp:posOffset>
          </wp:positionH>
          <wp:positionV relativeFrom="page">
            <wp:posOffset>583565</wp:posOffset>
          </wp:positionV>
          <wp:extent cx="2567940" cy="484505"/>
          <wp:effectExtent l="0" t="0" r="3810" b="0"/>
          <wp:wrapSquare wrapText="bothSides"/>
          <wp:docPr id="7" name="Bille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172">
      <w:rPr>
        <w:color w:val="808080" w:themeColor="background1" w:themeShade="80"/>
        <w:sz w:val="16"/>
      </w:rPr>
      <w:br/>
    </w:r>
    <w:r w:rsidR="00162172"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002232A0" wp14:editId="3AFCDE58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2172" w:rsidRPr="004F15FD">
      <w:rPr>
        <w:color w:val="808080" w:themeColor="background1" w:themeShade="80"/>
        <w:sz w:val="16"/>
      </w:rPr>
      <w:t xml:space="preserve">Rev. </w:t>
    </w:r>
    <w:r w:rsidR="00162172">
      <w:rPr>
        <w:color w:val="808080" w:themeColor="background1" w:themeShade="80"/>
        <w:sz w:val="16"/>
      </w:rPr>
      <w:t>16</w:t>
    </w:r>
    <w:r w:rsidR="00162172" w:rsidRPr="004F15FD">
      <w:rPr>
        <w:color w:val="808080" w:themeColor="background1" w:themeShade="80"/>
        <w:sz w:val="16"/>
      </w:rPr>
      <w:t>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1"/>
  </w:num>
  <w:num w:numId="19">
    <w:abstractNumId w:val="12"/>
  </w:num>
  <w:num w:numId="20">
    <w:abstractNumId w:val="20"/>
  </w:num>
  <w:num w:numId="21">
    <w:abstractNumId w:val="2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23B69"/>
    <w:rsid w:val="00024FA8"/>
    <w:rsid w:val="000269D6"/>
    <w:rsid w:val="000309E6"/>
    <w:rsid w:val="00031460"/>
    <w:rsid w:val="00031E20"/>
    <w:rsid w:val="0003564B"/>
    <w:rsid w:val="00037B7A"/>
    <w:rsid w:val="00040C40"/>
    <w:rsid w:val="00042668"/>
    <w:rsid w:val="00044B87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C407F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25E44"/>
    <w:rsid w:val="001272DD"/>
    <w:rsid w:val="001340AC"/>
    <w:rsid w:val="00135FA5"/>
    <w:rsid w:val="00142853"/>
    <w:rsid w:val="00143B0B"/>
    <w:rsid w:val="00146015"/>
    <w:rsid w:val="00162172"/>
    <w:rsid w:val="001705F3"/>
    <w:rsid w:val="00174DD5"/>
    <w:rsid w:val="00177A54"/>
    <w:rsid w:val="00190042"/>
    <w:rsid w:val="00190049"/>
    <w:rsid w:val="001A6336"/>
    <w:rsid w:val="001B5EFB"/>
    <w:rsid w:val="001C07E4"/>
    <w:rsid w:val="001D15FE"/>
    <w:rsid w:val="001D1E4F"/>
    <w:rsid w:val="001D3341"/>
    <w:rsid w:val="001D48A3"/>
    <w:rsid w:val="001D51D3"/>
    <w:rsid w:val="001D5B8B"/>
    <w:rsid w:val="001D5F30"/>
    <w:rsid w:val="001D7505"/>
    <w:rsid w:val="001E4501"/>
    <w:rsid w:val="001E6503"/>
    <w:rsid w:val="001F3655"/>
    <w:rsid w:val="002004A0"/>
    <w:rsid w:val="00203187"/>
    <w:rsid w:val="00205DEB"/>
    <w:rsid w:val="00222497"/>
    <w:rsid w:val="00226E9A"/>
    <w:rsid w:val="00231337"/>
    <w:rsid w:val="0023164C"/>
    <w:rsid w:val="00257786"/>
    <w:rsid w:val="00266C12"/>
    <w:rsid w:val="00275AE1"/>
    <w:rsid w:val="0027697F"/>
    <w:rsid w:val="00281F2E"/>
    <w:rsid w:val="00285700"/>
    <w:rsid w:val="0029219B"/>
    <w:rsid w:val="002A4D13"/>
    <w:rsid w:val="002B0062"/>
    <w:rsid w:val="002B4040"/>
    <w:rsid w:val="002B4952"/>
    <w:rsid w:val="002B62E1"/>
    <w:rsid w:val="002B6382"/>
    <w:rsid w:val="002D4340"/>
    <w:rsid w:val="002E4320"/>
    <w:rsid w:val="002F2888"/>
    <w:rsid w:val="003122C2"/>
    <w:rsid w:val="003123F8"/>
    <w:rsid w:val="00317218"/>
    <w:rsid w:val="00327C7C"/>
    <w:rsid w:val="00333916"/>
    <w:rsid w:val="00341071"/>
    <w:rsid w:val="00347AD5"/>
    <w:rsid w:val="003512DF"/>
    <w:rsid w:val="0035172F"/>
    <w:rsid w:val="00351C71"/>
    <w:rsid w:val="00364DA3"/>
    <w:rsid w:val="00376F78"/>
    <w:rsid w:val="003824E9"/>
    <w:rsid w:val="00384859"/>
    <w:rsid w:val="00387DDC"/>
    <w:rsid w:val="0039544C"/>
    <w:rsid w:val="00395C25"/>
    <w:rsid w:val="003A115E"/>
    <w:rsid w:val="003C385F"/>
    <w:rsid w:val="003C4573"/>
    <w:rsid w:val="003C7CCA"/>
    <w:rsid w:val="003D5551"/>
    <w:rsid w:val="003D778B"/>
    <w:rsid w:val="003E4F45"/>
    <w:rsid w:val="003E7522"/>
    <w:rsid w:val="003F195C"/>
    <w:rsid w:val="00402177"/>
    <w:rsid w:val="0042477C"/>
    <w:rsid w:val="0042742E"/>
    <w:rsid w:val="00440FFF"/>
    <w:rsid w:val="00445653"/>
    <w:rsid w:val="0045786A"/>
    <w:rsid w:val="00464A88"/>
    <w:rsid w:val="0046759B"/>
    <w:rsid w:val="004A6A0C"/>
    <w:rsid w:val="004B505F"/>
    <w:rsid w:val="004B6006"/>
    <w:rsid w:val="004C6E46"/>
    <w:rsid w:val="004D46CE"/>
    <w:rsid w:val="004D6730"/>
    <w:rsid w:val="004D779A"/>
    <w:rsid w:val="004D7FC4"/>
    <w:rsid w:val="004F5205"/>
    <w:rsid w:val="004F59AF"/>
    <w:rsid w:val="004F7F0C"/>
    <w:rsid w:val="00506A57"/>
    <w:rsid w:val="0050718D"/>
    <w:rsid w:val="005113C9"/>
    <w:rsid w:val="00516AA5"/>
    <w:rsid w:val="005235F4"/>
    <w:rsid w:val="00532364"/>
    <w:rsid w:val="00532438"/>
    <w:rsid w:val="00535C3D"/>
    <w:rsid w:val="005375AE"/>
    <w:rsid w:val="005412B1"/>
    <w:rsid w:val="00542E5F"/>
    <w:rsid w:val="00544712"/>
    <w:rsid w:val="00550D17"/>
    <w:rsid w:val="00553348"/>
    <w:rsid w:val="00554B9A"/>
    <w:rsid w:val="00560810"/>
    <w:rsid w:val="0056212F"/>
    <w:rsid w:val="00565DA9"/>
    <w:rsid w:val="005670AA"/>
    <w:rsid w:val="00574AE0"/>
    <w:rsid w:val="005764F2"/>
    <w:rsid w:val="00590D34"/>
    <w:rsid w:val="005924F9"/>
    <w:rsid w:val="005A2357"/>
    <w:rsid w:val="005A23DF"/>
    <w:rsid w:val="005A38BB"/>
    <w:rsid w:val="005C0EE7"/>
    <w:rsid w:val="005C2EB5"/>
    <w:rsid w:val="005D02FA"/>
    <w:rsid w:val="005D20DA"/>
    <w:rsid w:val="005D2B07"/>
    <w:rsid w:val="005E2321"/>
    <w:rsid w:val="005F5499"/>
    <w:rsid w:val="005F62B2"/>
    <w:rsid w:val="00600D52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7A6"/>
    <w:rsid w:val="006431EB"/>
    <w:rsid w:val="0064377A"/>
    <w:rsid w:val="006437F3"/>
    <w:rsid w:val="00646396"/>
    <w:rsid w:val="00660E69"/>
    <w:rsid w:val="00667143"/>
    <w:rsid w:val="00671CFB"/>
    <w:rsid w:val="006867AF"/>
    <w:rsid w:val="00697858"/>
    <w:rsid w:val="006A67B0"/>
    <w:rsid w:val="006B4908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5171F"/>
    <w:rsid w:val="00755049"/>
    <w:rsid w:val="007847AF"/>
    <w:rsid w:val="007860BD"/>
    <w:rsid w:val="007918E4"/>
    <w:rsid w:val="00795089"/>
    <w:rsid w:val="007A0127"/>
    <w:rsid w:val="007A1128"/>
    <w:rsid w:val="007B0FD7"/>
    <w:rsid w:val="007B1696"/>
    <w:rsid w:val="007B1F23"/>
    <w:rsid w:val="007C30C0"/>
    <w:rsid w:val="007D09A2"/>
    <w:rsid w:val="007D0AC4"/>
    <w:rsid w:val="007D261E"/>
    <w:rsid w:val="007D5F97"/>
    <w:rsid w:val="007D7229"/>
    <w:rsid w:val="007E4F0D"/>
    <w:rsid w:val="007E5CAE"/>
    <w:rsid w:val="007F0BDD"/>
    <w:rsid w:val="007F68A1"/>
    <w:rsid w:val="007F6949"/>
    <w:rsid w:val="00800364"/>
    <w:rsid w:val="00812A94"/>
    <w:rsid w:val="00813F0E"/>
    <w:rsid w:val="00816CE9"/>
    <w:rsid w:val="00822888"/>
    <w:rsid w:val="0082321C"/>
    <w:rsid w:val="0082482E"/>
    <w:rsid w:val="00841FFD"/>
    <w:rsid w:val="008477AC"/>
    <w:rsid w:val="00854421"/>
    <w:rsid w:val="00855AC8"/>
    <w:rsid w:val="0088202B"/>
    <w:rsid w:val="00883BC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3AF7"/>
    <w:rsid w:val="008E2ED8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3010B"/>
    <w:rsid w:val="009307EE"/>
    <w:rsid w:val="00932CAB"/>
    <w:rsid w:val="00935850"/>
    <w:rsid w:val="00942813"/>
    <w:rsid w:val="00942AEC"/>
    <w:rsid w:val="009512B8"/>
    <w:rsid w:val="00952A46"/>
    <w:rsid w:val="00954E1F"/>
    <w:rsid w:val="00967D1A"/>
    <w:rsid w:val="00973A48"/>
    <w:rsid w:val="00976005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72ED"/>
    <w:rsid w:val="00A0592A"/>
    <w:rsid w:val="00A11665"/>
    <w:rsid w:val="00A22802"/>
    <w:rsid w:val="00A22E46"/>
    <w:rsid w:val="00A25A55"/>
    <w:rsid w:val="00A27177"/>
    <w:rsid w:val="00A27566"/>
    <w:rsid w:val="00A338D3"/>
    <w:rsid w:val="00A352D1"/>
    <w:rsid w:val="00A42EDA"/>
    <w:rsid w:val="00A50517"/>
    <w:rsid w:val="00A61BE3"/>
    <w:rsid w:val="00A65E51"/>
    <w:rsid w:val="00A70D67"/>
    <w:rsid w:val="00A72D12"/>
    <w:rsid w:val="00AB1DAA"/>
    <w:rsid w:val="00AB49FC"/>
    <w:rsid w:val="00AB6766"/>
    <w:rsid w:val="00AC6D94"/>
    <w:rsid w:val="00AD5D8C"/>
    <w:rsid w:val="00AE1AE5"/>
    <w:rsid w:val="00AF0233"/>
    <w:rsid w:val="00B1012F"/>
    <w:rsid w:val="00B1743D"/>
    <w:rsid w:val="00B225B3"/>
    <w:rsid w:val="00B25503"/>
    <w:rsid w:val="00B446FA"/>
    <w:rsid w:val="00B45105"/>
    <w:rsid w:val="00B510E0"/>
    <w:rsid w:val="00B62B97"/>
    <w:rsid w:val="00B633A2"/>
    <w:rsid w:val="00B66AEB"/>
    <w:rsid w:val="00B72BF2"/>
    <w:rsid w:val="00B75F74"/>
    <w:rsid w:val="00B824F1"/>
    <w:rsid w:val="00B853BF"/>
    <w:rsid w:val="00B96033"/>
    <w:rsid w:val="00BA0B34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D22B3"/>
    <w:rsid w:val="00BE0634"/>
    <w:rsid w:val="00BE21B7"/>
    <w:rsid w:val="00BE3276"/>
    <w:rsid w:val="00BF3097"/>
    <w:rsid w:val="00BF41AB"/>
    <w:rsid w:val="00C07C9E"/>
    <w:rsid w:val="00C1434B"/>
    <w:rsid w:val="00C17096"/>
    <w:rsid w:val="00C25B76"/>
    <w:rsid w:val="00C25F68"/>
    <w:rsid w:val="00C268B9"/>
    <w:rsid w:val="00C43840"/>
    <w:rsid w:val="00C44448"/>
    <w:rsid w:val="00C666BA"/>
    <w:rsid w:val="00C67FA6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2E6F"/>
    <w:rsid w:val="00CB3279"/>
    <w:rsid w:val="00CB3CB0"/>
    <w:rsid w:val="00CC1359"/>
    <w:rsid w:val="00CC57C6"/>
    <w:rsid w:val="00CC5E7F"/>
    <w:rsid w:val="00CC7C0C"/>
    <w:rsid w:val="00CE6EFF"/>
    <w:rsid w:val="00CF1D6D"/>
    <w:rsid w:val="00D15CF2"/>
    <w:rsid w:val="00D24D4D"/>
    <w:rsid w:val="00D25073"/>
    <w:rsid w:val="00D3213E"/>
    <w:rsid w:val="00D34BF0"/>
    <w:rsid w:val="00D3762E"/>
    <w:rsid w:val="00D44155"/>
    <w:rsid w:val="00D5776E"/>
    <w:rsid w:val="00D62428"/>
    <w:rsid w:val="00D71D80"/>
    <w:rsid w:val="00D85D37"/>
    <w:rsid w:val="00D87A6C"/>
    <w:rsid w:val="00D95836"/>
    <w:rsid w:val="00DA0932"/>
    <w:rsid w:val="00DA2E3E"/>
    <w:rsid w:val="00DA5701"/>
    <w:rsid w:val="00DA5883"/>
    <w:rsid w:val="00DB0718"/>
    <w:rsid w:val="00DD4AFD"/>
    <w:rsid w:val="00DD6574"/>
    <w:rsid w:val="00DE020E"/>
    <w:rsid w:val="00DF18DB"/>
    <w:rsid w:val="00DF37B6"/>
    <w:rsid w:val="00E04906"/>
    <w:rsid w:val="00E06B93"/>
    <w:rsid w:val="00E15E26"/>
    <w:rsid w:val="00E26615"/>
    <w:rsid w:val="00E3071C"/>
    <w:rsid w:val="00E32EAF"/>
    <w:rsid w:val="00E45D3C"/>
    <w:rsid w:val="00E502D4"/>
    <w:rsid w:val="00E5466E"/>
    <w:rsid w:val="00E550FA"/>
    <w:rsid w:val="00E6578E"/>
    <w:rsid w:val="00E67CE5"/>
    <w:rsid w:val="00E76B33"/>
    <w:rsid w:val="00E80840"/>
    <w:rsid w:val="00E83063"/>
    <w:rsid w:val="00E84B88"/>
    <w:rsid w:val="00E85D2A"/>
    <w:rsid w:val="00E85FF6"/>
    <w:rsid w:val="00E94877"/>
    <w:rsid w:val="00E967CD"/>
    <w:rsid w:val="00EA6B9E"/>
    <w:rsid w:val="00EB2296"/>
    <w:rsid w:val="00EB4D57"/>
    <w:rsid w:val="00EB4DCF"/>
    <w:rsid w:val="00EB66EC"/>
    <w:rsid w:val="00EC6C3B"/>
    <w:rsid w:val="00EE0818"/>
    <w:rsid w:val="00EF361F"/>
    <w:rsid w:val="00EF52A5"/>
    <w:rsid w:val="00F12595"/>
    <w:rsid w:val="00F16341"/>
    <w:rsid w:val="00F170A8"/>
    <w:rsid w:val="00F215A2"/>
    <w:rsid w:val="00F33E21"/>
    <w:rsid w:val="00F355AA"/>
    <w:rsid w:val="00F40391"/>
    <w:rsid w:val="00F42974"/>
    <w:rsid w:val="00F42CC0"/>
    <w:rsid w:val="00F46910"/>
    <w:rsid w:val="00F50E9C"/>
    <w:rsid w:val="00F653C8"/>
    <w:rsid w:val="00F74685"/>
    <w:rsid w:val="00F77D3D"/>
    <w:rsid w:val="00F87011"/>
    <w:rsid w:val="00FB0DC5"/>
    <w:rsid w:val="00FC2154"/>
    <w:rsid w:val="00FC5549"/>
    <w:rsid w:val="00FC6FCE"/>
    <w:rsid w:val="00FC7F9C"/>
    <w:rsid w:val="00FD4124"/>
    <w:rsid w:val="00FD7957"/>
    <w:rsid w:val="00FE66B2"/>
    <w:rsid w:val="00FE674A"/>
    <w:rsid w:val="00FF0A61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50ECC2C-D2AD-466E-9334-169FB596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4</Pages>
  <Words>987</Words>
  <Characters>6021</Characters>
  <Application>Microsoft Office Word</Application>
  <DocSecurity>0</DocSecurity>
  <PresentationFormat>BrevX</PresentationFormat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Meinild</dc:creator>
  <dc:description>vers. 01.12.2011</dc:description>
  <cp:lastModifiedBy>Marc Søgaard</cp:lastModifiedBy>
  <cp:revision>3</cp:revision>
  <dcterms:created xsi:type="dcterms:W3CDTF">2020-06-23T10:02:00Z</dcterms:created>
  <dcterms:modified xsi:type="dcterms:W3CDTF">2021-03-10T14:24:00Z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